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>
      <w:pPr>
        <w:jc w:val="center"/>
        <w:rPr>
          <w:rFonts w:hint="eastAsia"/>
          <w:b/>
          <w:bCs/>
          <w:spacing w:val="-1"/>
          <w:sz w:val="36"/>
          <w:szCs w:val="36"/>
        </w:rPr>
      </w:pPr>
      <w:r>
        <w:rPr>
          <w:rFonts w:hint="eastAsia"/>
          <w:b/>
          <w:bCs/>
          <w:spacing w:val="-1"/>
          <w:sz w:val="36"/>
          <w:szCs w:val="36"/>
          <w:lang w:eastAsia="zh-CN"/>
        </w:rPr>
        <w:t>临泉县妇幼保健院医用织物洗涤服务项目（</w:t>
      </w:r>
      <w:r>
        <w:rPr>
          <w:rFonts w:hint="eastAsia"/>
          <w:b/>
          <w:bCs/>
          <w:spacing w:val="-1"/>
          <w:sz w:val="36"/>
          <w:szCs w:val="36"/>
          <w:lang w:val="en-US" w:eastAsia="zh-CN"/>
        </w:rPr>
        <w:t>二次</w:t>
      </w:r>
      <w:r>
        <w:rPr>
          <w:rFonts w:hint="eastAsia"/>
          <w:b/>
          <w:bCs/>
          <w:spacing w:val="-1"/>
          <w:sz w:val="36"/>
          <w:szCs w:val="36"/>
          <w:lang w:eastAsia="zh-CN"/>
        </w:rPr>
        <w:t>）</w:t>
      </w:r>
    </w:p>
    <w:p>
      <w:pPr>
        <w:spacing w:before="134" w:line="277" w:lineRule="auto"/>
        <w:ind w:left="1926" w:right="289" w:hanging="1605"/>
        <w:jc w:val="center"/>
        <w:outlineLvl w:val="0"/>
        <w:rPr>
          <w:rFonts w:ascii="宋体" w:hAnsi="宋体" w:eastAsia="宋体" w:cs="宋体"/>
          <w:b/>
          <w:bCs/>
          <w:spacing w:val="8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8"/>
          <w:sz w:val="35"/>
          <w:szCs w:val="35"/>
          <w:lang w:eastAsia="zh-CN"/>
        </w:rPr>
        <w:t>得分、</w:t>
      </w: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排名</w:t>
      </w:r>
      <w:r>
        <w:rPr>
          <w:rFonts w:hint="eastAsia" w:ascii="宋体" w:hAnsi="宋体" w:eastAsia="宋体" w:cs="宋体"/>
          <w:b/>
          <w:bCs/>
          <w:spacing w:val="8"/>
          <w:sz w:val="35"/>
          <w:szCs w:val="35"/>
          <w:lang w:eastAsia="zh-CN"/>
        </w:rPr>
        <w:t>和</w:t>
      </w: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资格审查情况</w:t>
      </w:r>
    </w:p>
    <w:p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>
      <w:pPr>
        <w:tabs>
          <w:tab w:val="center" w:pos="4153"/>
        </w:tabs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AHCSZB2025008</w:t>
      </w:r>
    </w:p>
    <w:p>
      <w:pPr>
        <w:bidi w:val="0"/>
        <w:rPr>
          <w:lang w:val="en-US" w:eastAsia="en-US"/>
        </w:rPr>
      </w:pPr>
    </w:p>
    <w:tbl>
      <w:tblPr>
        <w:tblStyle w:val="20"/>
        <w:tblW w:w="84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4339"/>
        <w:gridCol w:w="1199"/>
        <w:gridCol w:w="1117"/>
        <w:gridCol w:w="11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6" w:hRule="atLeast"/>
        </w:trPr>
        <w:tc>
          <w:tcPr>
            <w:tcW w:w="726" w:type="dxa"/>
            <w:vAlign w:val="center"/>
          </w:tcPr>
          <w:p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序号</w:t>
            </w:r>
          </w:p>
        </w:tc>
        <w:tc>
          <w:tcPr>
            <w:tcW w:w="4339" w:type="dxa"/>
            <w:vAlign w:val="center"/>
          </w:tcPr>
          <w:p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单位名称</w:t>
            </w:r>
          </w:p>
        </w:tc>
        <w:tc>
          <w:tcPr>
            <w:tcW w:w="1199" w:type="dxa"/>
            <w:vAlign w:val="center"/>
          </w:tcPr>
          <w:p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单位资格</w:t>
            </w:r>
          </w:p>
          <w:p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审查情况</w:t>
            </w:r>
          </w:p>
        </w:tc>
        <w:tc>
          <w:tcPr>
            <w:tcW w:w="1117" w:type="dxa"/>
            <w:vAlign w:val="center"/>
          </w:tcPr>
          <w:p>
            <w:pPr>
              <w:pStyle w:val="21"/>
              <w:spacing w:before="82" w:line="240" w:lineRule="auto"/>
              <w:ind w:left="61" w:leftChars="0"/>
              <w:jc w:val="center"/>
              <w:rPr>
                <w:rFonts w:hint="eastAsia" w:eastAsia="仿宋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得分</w:t>
            </w:r>
          </w:p>
        </w:tc>
        <w:tc>
          <w:tcPr>
            <w:tcW w:w="1117" w:type="dxa"/>
            <w:vAlign w:val="center"/>
          </w:tcPr>
          <w:p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6" w:type="dxa"/>
            <w:vAlign w:val="center"/>
          </w:tcPr>
          <w:p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4339" w:type="dxa"/>
            <w:shd w:val="clear" w:color="auto" w:fill="auto"/>
            <w:vAlign w:val="center"/>
          </w:tcPr>
          <w:p>
            <w:pPr>
              <w:pStyle w:val="21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安徽蓝鲸金阳洗涤有限公司</w:t>
            </w:r>
          </w:p>
        </w:tc>
        <w:tc>
          <w:tcPr>
            <w:tcW w:w="1199" w:type="dxa"/>
            <w:vAlign w:val="center"/>
          </w:tcPr>
          <w:p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117" w:type="dxa"/>
            <w:vAlign w:val="center"/>
          </w:tcPr>
          <w:p>
            <w:pPr>
              <w:pStyle w:val="21"/>
              <w:spacing w:before="82" w:line="240" w:lineRule="auto"/>
              <w:ind w:left="61" w:leftChars="0"/>
              <w:jc w:val="center"/>
              <w:rPr>
                <w:rFonts w:hint="default" w:eastAsia="仿宋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85.27</w:t>
            </w:r>
          </w:p>
        </w:tc>
        <w:tc>
          <w:tcPr>
            <w:tcW w:w="1117" w:type="dxa"/>
            <w:vAlign w:val="center"/>
          </w:tcPr>
          <w:p>
            <w:pPr>
              <w:pStyle w:val="21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6" w:type="dxa"/>
            <w:vAlign w:val="center"/>
          </w:tcPr>
          <w:p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4339" w:type="dxa"/>
            <w:shd w:val="clear" w:color="auto" w:fill="auto"/>
            <w:vAlign w:val="center"/>
          </w:tcPr>
          <w:p>
            <w:pPr>
              <w:pStyle w:val="21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太和县振发超洁消毒服务有限责任公司</w:t>
            </w:r>
          </w:p>
        </w:tc>
        <w:tc>
          <w:tcPr>
            <w:tcW w:w="1199" w:type="dxa"/>
            <w:vAlign w:val="center"/>
          </w:tcPr>
          <w:p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117" w:type="dxa"/>
            <w:vAlign w:val="center"/>
          </w:tcPr>
          <w:p>
            <w:pPr>
              <w:pStyle w:val="21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84</w:t>
            </w:r>
          </w:p>
        </w:tc>
        <w:tc>
          <w:tcPr>
            <w:tcW w:w="1117" w:type="dxa"/>
            <w:vAlign w:val="center"/>
          </w:tcPr>
          <w:p>
            <w:pPr>
              <w:pStyle w:val="21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6" w:type="dxa"/>
            <w:vAlign w:val="center"/>
          </w:tcPr>
          <w:p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4339" w:type="dxa"/>
            <w:shd w:val="clear" w:color="auto" w:fill="auto"/>
            <w:vAlign w:val="center"/>
          </w:tcPr>
          <w:p>
            <w:pPr>
              <w:pStyle w:val="21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en-US"/>
              </w:rPr>
            </w:pPr>
            <w:r>
              <w:rPr>
                <w:rFonts w:hint="default"/>
                <w:spacing w:val="2"/>
                <w:lang w:val="en-US" w:eastAsia="en-US"/>
              </w:rPr>
              <w:t>合肥鲸弘医疗科技有限公司</w:t>
            </w:r>
          </w:p>
        </w:tc>
        <w:tc>
          <w:tcPr>
            <w:tcW w:w="1199" w:type="dxa"/>
            <w:vAlign w:val="center"/>
          </w:tcPr>
          <w:p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117" w:type="dxa"/>
            <w:vAlign w:val="center"/>
          </w:tcPr>
          <w:p>
            <w:pPr>
              <w:pStyle w:val="21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61.89</w:t>
            </w:r>
          </w:p>
        </w:tc>
        <w:tc>
          <w:tcPr>
            <w:tcW w:w="1117" w:type="dxa"/>
            <w:vAlign w:val="center"/>
          </w:tcPr>
          <w:p>
            <w:pPr>
              <w:pStyle w:val="21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3</w:t>
            </w:r>
          </w:p>
        </w:tc>
      </w:tr>
    </w:tbl>
    <w:p>
      <w:pPr>
        <w:spacing w:before="192" w:line="220" w:lineRule="auto"/>
        <w:ind w:left="1012"/>
        <w:rPr>
          <w:rFonts w:ascii="仿宋" w:hAnsi="仿宋" w:eastAsia="仿宋" w:cs="仿宋"/>
          <w:spacing w:val="1"/>
          <w:sz w:val="24"/>
          <w:szCs w:val="24"/>
        </w:rPr>
      </w:pPr>
    </w:p>
    <w:p>
      <w:pPr>
        <w:spacing w:before="192" w:line="220" w:lineRule="auto"/>
        <w:ind w:left="101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本项目共有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3</w:t>
      </w:r>
      <w:r>
        <w:rPr>
          <w:rFonts w:ascii="仿宋" w:hAnsi="仿宋" w:eastAsia="仿宋" w:cs="仿宋"/>
          <w:spacing w:val="1"/>
          <w:sz w:val="24"/>
          <w:szCs w:val="24"/>
        </w:rPr>
        <w:t>家供应商参加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竞争性磋</w:t>
      </w:r>
      <w:bookmarkStart w:id="0" w:name="_GoBack"/>
      <w:bookmarkEnd w:id="0"/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商采购</w:t>
      </w:r>
      <w:r>
        <w:rPr>
          <w:rFonts w:ascii="仿宋" w:hAnsi="仿宋" w:eastAsia="仿宋" w:cs="仿宋"/>
          <w:spacing w:val="1"/>
          <w:sz w:val="24"/>
          <w:szCs w:val="24"/>
        </w:rPr>
        <w:t>，均通过初步</w:t>
      </w:r>
      <w:r>
        <w:rPr>
          <w:rFonts w:ascii="仿宋" w:hAnsi="仿宋" w:eastAsia="仿宋" w:cs="仿宋"/>
          <w:sz w:val="24"/>
          <w:szCs w:val="24"/>
        </w:rPr>
        <w:t>评审。</w:t>
      </w:r>
    </w:p>
    <w:sectPr>
      <w:pgSz w:w="11906" w:h="16839"/>
      <w:pgMar w:top="1431" w:right="1524" w:bottom="0" w:left="15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I4NmNlNDg0NjA0ZjAyNGE5ZjM5MWNiZjcyNmY4OWQifQ=="/>
    <w:docVar w:name="KSO_WPS_MARK_KEY" w:val="518bb009-7ae6-4cf7-896f-cd8722f4e61f"/>
  </w:docVars>
  <w:rsids>
    <w:rsidRoot w:val="00000000"/>
    <w:rsid w:val="039A65F4"/>
    <w:rsid w:val="050723CE"/>
    <w:rsid w:val="06F54D7B"/>
    <w:rsid w:val="08A914FC"/>
    <w:rsid w:val="145B0AD4"/>
    <w:rsid w:val="19A70024"/>
    <w:rsid w:val="1DC365B9"/>
    <w:rsid w:val="229671B2"/>
    <w:rsid w:val="241C17CD"/>
    <w:rsid w:val="2B43016E"/>
    <w:rsid w:val="38AB1FE8"/>
    <w:rsid w:val="38EA7FF7"/>
    <w:rsid w:val="3F8A62BA"/>
    <w:rsid w:val="457E261E"/>
    <w:rsid w:val="488D4DB4"/>
    <w:rsid w:val="4A0F1E7E"/>
    <w:rsid w:val="4D447D52"/>
    <w:rsid w:val="51C51AB5"/>
    <w:rsid w:val="5DE31B3C"/>
    <w:rsid w:val="63EF49BB"/>
    <w:rsid w:val="65E16585"/>
    <w:rsid w:val="67173489"/>
    <w:rsid w:val="6B794BB1"/>
    <w:rsid w:val="791229CF"/>
    <w:rsid w:val="7A0242F8"/>
    <w:rsid w:val="7B76251D"/>
    <w:rsid w:val="7E5F4093"/>
    <w:rsid w:val="7ED14CB7"/>
    <w:rsid w:val="7F1F7078"/>
    <w:rsid w:val="7FC42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100" w:beforeLines="0" w:beforeAutospacing="0" w:after="10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  <w:bdr w:val="single" w:color="D6D6D6" w:sz="4" w:space="0"/>
      <w:shd w:val="clear" w:fill="FFFFFF"/>
    </w:rPr>
  </w:style>
  <w:style w:type="character" w:styleId="9">
    <w:name w:val="FollowedHyperlink"/>
    <w:basedOn w:val="7"/>
    <w:qFormat/>
    <w:uiPriority w:val="0"/>
    <w:rPr>
      <w:color w:val="5C5C5C"/>
      <w:u w:val="none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5C5C5C"/>
      <w:u w:val="none"/>
    </w:rPr>
  </w:style>
  <w:style w:type="character" w:styleId="16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qFormat/>
    <w:uiPriority w:val="0"/>
    <w:rPr>
      <w:rFonts w:ascii="monospace" w:hAnsi="monospace" w:eastAsia="monospace" w:cs="monospace"/>
      <w:vanish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character" w:customStyle="1" w:styleId="22">
    <w:name w:val="hover"/>
    <w:basedOn w:val="7"/>
    <w:qFormat/>
    <w:uiPriority w:val="0"/>
    <w:rPr>
      <w:color w:val="2590EB"/>
    </w:rPr>
  </w:style>
  <w:style w:type="character" w:customStyle="1" w:styleId="23">
    <w:name w:val="hover1"/>
    <w:basedOn w:val="7"/>
    <w:qFormat/>
    <w:uiPriority w:val="0"/>
  </w:style>
  <w:style w:type="character" w:customStyle="1" w:styleId="24">
    <w:name w:val="hover2"/>
    <w:basedOn w:val="7"/>
    <w:qFormat/>
    <w:uiPriority w:val="0"/>
    <w:rPr>
      <w:color w:val="2590EB"/>
    </w:rPr>
  </w:style>
  <w:style w:type="character" w:customStyle="1" w:styleId="25">
    <w:name w:val="hover3"/>
    <w:basedOn w:val="7"/>
    <w:qFormat/>
    <w:uiPriority w:val="0"/>
    <w:rPr>
      <w:color w:val="2590EB"/>
      <w:shd w:val="clear" w:fill="E9F4FD"/>
    </w:rPr>
  </w:style>
  <w:style w:type="character" w:customStyle="1" w:styleId="26">
    <w:name w:val="hover4"/>
    <w:basedOn w:val="7"/>
    <w:qFormat/>
    <w:uiPriority w:val="0"/>
    <w:rPr>
      <w:color w:val="2590EB"/>
    </w:rPr>
  </w:style>
  <w:style w:type="character" w:customStyle="1" w:styleId="27">
    <w:name w:val="mini-outputtex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147</Words>
  <Characters>172</Characters>
  <TotalTime>1</TotalTime>
  <ScaleCrop>false</ScaleCrop>
  <LinksUpToDate>false</LinksUpToDate>
  <CharactersWithSpaces>172</CharactersWithSpaces>
  <Application>WPS Office_11.1.0.15319_F1E327BC-269C-435d-A152-05C5408002CA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2024-08-13T10:08:00Z</dcterms:created>
  <dc:creator>徐雅倩</dc:creator>
  <cp:lastModifiedBy>吴</cp:lastModifiedBy>
  <dcterms:modified xsi:type="dcterms:W3CDTF">2025-05-23T02:06:06Z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2024-08-23T10:44:33Z</vt:filetime>
  </property>
  <property fmtid="{D5CDD505-2E9C-101B-9397-08002B2CF9AE}" pid="4" name="KSOProductBuildVer">
    <vt:lpwstr>2052-11.1.0.15319</vt:lpwstr>
  </property>
  <property fmtid="{D5CDD505-2E9C-101B-9397-08002B2CF9AE}" pid="5" name="ICV">
    <vt:lpwstr>DA8E9C947AD448949F5E34BBA9EDC239_13</vt:lpwstr>
  </property>
  <property fmtid="{D5CDD505-2E9C-101B-9397-08002B2CF9AE}" pid="6" name="KSOTemplateDocerSaveRecord">
    <vt:lpwstr>eyJoZGlkIjoiZjczMTRlZDY3NzEwYzllMGZmYmRjZGMwMGI4MGIxMTUiLCJ1c2VySWQiOiIzMjMxMTU3NzAifQ==</vt:lpwstr>
  </property>
</Properties>
</file>